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F16" w:rsidRDefault="008B1F16" w:rsidP="008B1F16">
      <w:pPr>
        <w:spacing w:before="1"/>
        <w:ind w:left="2067"/>
        <w:jc w:val="center"/>
        <w:rPr>
          <w:sz w:val="24"/>
        </w:rPr>
      </w:pPr>
      <w:r>
        <w:t xml:space="preserve">TECHNICAL SPECIFICATION </w:t>
      </w:r>
      <w:r>
        <w:rPr>
          <w:sz w:val="24"/>
        </w:rPr>
        <w:t>G.I Earth Rod (HT&amp;LT)</w:t>
      </w:r>
    </w:p>
    <w:p w:rsidR="008B1F16" w:rsidRDefault="008B1F16" w:rsidP="008B1F16">
      <w:pPr>
        <w:pStyle w:val="Heading4"/>
        <w:ind w:left="140" w:right="0"/>
        <w:jc w:val="left"/>
      </w:pPr>
      <w:bookmarkStart w:id="0" w:name="_GoBack"/>
      <w:bookmarkEnd w:id="0"/>
      <w:r>
        <w:rPr>
          <w:u w:val="thick"/>
        </w:rPr>
        <w:t>Annexure – ‘B’</w:t>
      </w:r>
    </w:p>
    <w:p w:rsidR="008B1F16" w:rsidRDefault="008B1F16" w:rsidP="008B1F16">
      <w:pPr>
        <w:pStyle w:val="BodyText"/>
        <w:spacing w:before="10"/>
        <w:rPr>
          <w:b/>
          <w:sz w:val="7"/>
        </w:rPr>
      </w:pPr>
    </w:p>
    <w:tbl>
      <w:tblPr>
        <w:tblW w:w="9259" w:type="dxa"/>
        <w:tblInd w:w="2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"/>
        <w:gridCol w:w="8545"/>
      </w:tblGrid>
      <w:tr w:rsidR="008B1F16" w:rsidTr="008B1F16">
        <w:trPr>
          <w:trHeight w:val="896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line="231" w:lineRule="exact"/>
              <w:ind w:left="200"/>
              <w:rPr>
                <w:sz w:val="19"/>
              </w:rPr>
            </w:pPr>
            <w:r>
              <w:rPr>
                <w:sz w:val="19"/>
              </w:rPr>
              <w:t>1.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line="231" w:lineRule="exact"/>
              <w:rPr>
                <w:b/>
                <w:sz w:val="19"/>
              </w:rPr>
            </w:pPr>
            <w:r>
              <w:rPr>
                <w:b/>
                <w:sz w:val="19"/>
                <w:u w:val="thick"/>
              </w:rPr>
              <w:t>SCOPE</w:t>
            </w:r>
            <w:r>
              <w:rPr>
                <w:b/>
                <w:spacing w:val="56"/>
                <w:sz w:val="19"/>
                <w:u w:val="thick"/>
              </w:rPr>
              <w:t xml:space="preserve"> </w:t>
            </w:r>
            <w:r>
              <w:rPr>
                <w:b/>
                <w:sz w:val="19"/>
                <w:u w:val="thick"/>
              </w:rPr>
              <w:t>:</w:t>
            </w:r>
          </w:p>
          <w:p w:rsidR="008B1F16" w:rsidRDefault="008B1F16" w:rsidP="00724361">
            <w:pPr>
              <w:pStyle w:val="TableParagraph"/>
              <w:spacing w:before="110"/>
              <w:rPr>
                <w:sz w:val="19"/>
              </w:rPr>
            </w:pPr>
            <w:r>
              <w:rPr>
                <w:sz w:val="19"/>
              </w:rPr>
              <w:t xml:space="preserve">This specification covers the technical details of G.I. </w:t>
            </w:r>
            <w:proofErr w:type="spellStart"/>
            <w:r>
              <w:rPr>
                <w:sz w:val="19"/>
              </w:rPr>
              <w:t>Earthing</w:t>
            </w:r>
            <w:proofErr w:type="spellEnd"/>
            <w:r>
              <w:rPr>
                <w:sz w:val="19"/>
              </w:rPr>
              <w:t xml:space="preserve"> Rod complete with the necessary fittings.</w:t>
            </w:r>
          </w:p>
        </w:tc>
      </w:tr>
      <w:tr w:rsidR="008B1F16" w:rsidTr="008B1F16">
        <w:trPr>
          <w:trHeight w:val="2003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94"/>
              <w:ind w:left="200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96" w:line="237" w:lineRule="auto"/>
              <w:ind w:right="206"/>
              <w:jc w:val="both"/>
              <w:rPr>
                <w:sz w:val="19"/>
              </w:rPr>
            </w:pPr>
            <w:r>
              <w:rPr>
                <w:sz w:val="19"/>
              </w:rPr>
              <w:t xml:space="preserve">The </w:t>
            </w:r>
            <w:proofErr w:type="spellStart"/>
            <w:r>
              <w:rPr>
                <w:sz w:val="19"/>
              </w:rPr>
              <w:t>earthing</w:t>
            </w:r>
            <w:proofErr w:type="spellEnd"/>
            <w:r>
              <w:rPr>
                <w:sz w:val="19"/>
              </w:rPr>
              <w:t xml:space="preserve"> rod should be 2500 mm (i.e. 25 + 2400 + 75) long fabricated from 20 mm </w:t>
            </w:r>
            <w:proofErr w:type="spellStart"/>
            <w:r>
              <w:rPr>
                <w:sz w:val="19"/>
              </w:rPr>
              <w:t>dia</w:t>
            </w:r>
            <w:proofErr w:type="spellEnd"/>
            <w:r>
              <w:rPr>
                <w:sz w:val="19"/>
              </w:rPr>
              <w:t xml:space="preserve"> G.I Rod, the bottom of which to be made cut of the same rod in the shape of a cone – 75 mm long and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forged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head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made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out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same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rod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with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30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mm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(</w:t>
            </w:r>
            <w:proofErr w:type="spellStart"/>
            <w:r>
              <w:rPr>
                <w:sz w:val="19"/>
              </w:rPr>
              <w:t>dia</w:t>
            </w:r>
            <w:proofErr w:type="spellEnd"/>
            <w:r>
              <w:rPr>
                <w:sz w:val="19"/>
              </w:rPr>
              <w:t>)=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25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mm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(height).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earthing</w:t>
            </w:r>
            <w:proofErr w:type="spellEnd"/>
            <w:r>
              <w:rPr>
                <w:sz w:val="19"/>
              </w:rPr>
              <w:t xml:space="preserve"> arrangements should consist of </w:t>
            </w:r>
            <w:r>
              <w:rPr>
                <w:spacing w:val="-4"/>
                <w:sz w:val="19"/>
              </w:rPr>
              <w:t xml:space="preserve">clamp </w:t>
            </w:r>
            <w:r>
              <w:rPr>
                <w:spacing w:val="-3"/>
                <w:sz w:val="19"/>
              </w:rPr>
              <w:t xml:space="preserve">of size </w:t>
            </w:r>
            <w:r>
              <w:rPr>
                <w:spacing w:val="-4"/>
                <w:sz w:val="19"/>
              </w:rPr>
              <w:t xml:space="preserve">(40x5mm) which </w:t>
            </w:r>
            <w:r>
              <w:rPr>
                <w:spacing w:val="-3"/>
                <w:sz w:val="19"/>
              </w:rPr>
              <w:t xml:space="preserve">is </w:t>
            </w:r>
            <w:r>
              <w:rPr>
                <w:spacing w:val="-4"/>
                <w:sz w:val="19"/>
              </w:rPr>
              <w:t xml:space="preserve">welded </w:t>
            </w:r>
            <w:r>
              <w:rPr>
                <w:spacing w:val="-3"/>
                <w:sz w:val="19"/>
              </w:rPr>
              <w:t xml:space="preserve">to </w:t>
            </w:r>
            <w:proofErr w:type="spellStart"/>
            <w:r>
              <w:rPr>
                <w:spacing w:val="-4"/>
                <w:sz w:val="19"/>
              </w:rPr>
              <w:t>earthrod</w:t>
            </w:r>
            <w:proofErr w:type="spellEnd"/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3"/>
                <w:sz w:val="19"/>
              </w:rPr>
              <w:t xml:space="preserve">rod with </w:t>
            </w:r>
            <w:r>
              <w:rPr>
                <w:spacing w:val="-4"/>
                <w:sz w:val="19"/>
              </w:rPr>
              <w:t xml:space="preserve">drilled holes </w:t>
            </w:r>
            <w:r>
              <w:rPr>
                <w:spacing w:val="-3"/>
                <w:sz w:val="19"/>
              </w:rPr>
              <w:t xml:space="preserve">on </w:t>
            </w:r>
            <w:r>
              <w:rPr>
                <w:spacing w:val="-4"/>
                <w:sz w:val="19"/>
              </w:rPr>
              <w:t xml:space="preserve">both sides </w:t>
            </w:r>
            <w:r>
              <w:rPr>
                <w:spacing w:val="-3"/>
                <w:sz w:val="19"/>
              </w:rPr>
              <w:t xml:space="preserve">of </w:t>
            </w:r>
            <w:r>
              <w:rPr>
                <w:spacing w:val="-4"/>
                <w:sz w:val="19"/>
              </w:rPr>
              <w:t xml:space="preserve">suitable size for fixing earth wire with </w:t>
            </w:r>
            <w:r>
              <w:rPr>
                <w:sz w:val="19"/>
              </w:rPr>
              <w:t xml:space="preserve">G.I. Bolt/nut and washers. The </w:t>
            </w:r>
            <w:r>
              <w:rPr>
                <w:spacing w:val="-5"/>
                <w:sz w:val="19"/>
              </w:rPr>
              <w:t xml:space="preserve">manufacturer </w:t>
            </w:r>
            <w:r>
              <w:rPr>
                <w:spacing w:val="-4"/>
                <w:sz w:val="19"/>
              </w:rPr>
              <w:t xml:space="preserve">shall submit drawing showing dimension </w:t>
            </w:r>
            <w:r>
              <w:rPr>
                <w:sz w:val="19"/>
              </w:rPr>
              <w:t xml:space="preserve">of </w:t>
            </w:r>
            <w:proofErr w:type="spellStart"/>
            <w:r>
              <w:rPr>
                <w:sz w:val="19"/>
              </w:rPr>
              <w:t>earthing</w:t>
            </w:r>
            <w:proofErr w:type="spellEnd"/>
            <w:r>
              <w:rPr>
                <w:sz w:val="19"/>
              </w:rPr>
              <w:t xml:space="preserve"> rod .The raw materials, as required for manufacture, shall comply with the relevant latest Indian Standard with all amendments,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additions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alternation,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for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obtaining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required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strength.</w:t>
            </w:r>
          </w:p>
        </w:tc>
      </w:tr>
      <w:tr w:rsidR="008B1F16" w:rsidTr="008B1F16">
        <w:trPr>
          <w:trHeight w:val="1084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83"/>
              <w:ind w:left="200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83" w:line="237" w:lineRule="auto"/>
              <w:ind w:right="344"/>
              <w:jc w:val="both"/>
              <w:rPr>
                <w:sz w:val="19"/>
              </w:rPr>
            </w:pPr>
            <w:r>
              <w:rPr>
                <w:sz w:val="19"/>
              </w:rPr>
              <w:t xml:space="preserve">The rod including the head portion should be smoothly and continuously hot dip </w:t>
            </w:r>
            <w:proofErr w:type="spellStart"/>
            <w:r>
              <w:rPr>
                <w:sz w:val="19"/>
              </w:rPr>
              <w:t>galvanised</w:t>
            </w:r>
            <w:proofErr w:type="spellEnd"/>
            <w:r>
              <w:rPr>
                <w:sz w:val="19"/>
              </w:rPr>
              <w:t xml:space="preserve"> as per relevant I.S.S. Other portion i.e. clamps, Bolts, nuts and washers should be hot dip </w:t>
            </w:r>
            <w:proofErr w:type="spellStart"/>
            <w:r>
              <w:rPr>
                <w:sz w:val="19"/>
              </w:rPr>
              <w:t>galavanised</w:t>
            </w:r>
            <w:proofErr w:type="spellEnd"/>
            <w:r>
              <w:rPr>
                <w:sz w:val="19"/>
              </w:rPr>
              <w:t xml:space="preserve"> or Zinc electro-plated. For Zinc electro plating manufacturers will have to give undertaking for satisfactory performance in the Test Certificate while offering inspection.</w:t>
            </w:r>
          </w:p>
        </w:tc>
      </w:tr>
      <w:tr w:rsidR="008B1F16" w:rsidTr="008B1F16">
        <w:trPr>
          <w:trHeight w:val="970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88"/>
              <w:ind w:left="200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86"/>
              <w:ind w:firstLine="2"/>
              <w:rPr>
                <w:sz w:val="19"/>
              </w:rPr>
            </w:pPr>
            <w:r>
              <w:rPr>
                <w:sz w:val="19"/>
              </w:rPr>
              <w:t>No crack should develop and deformation in the top head and/or bending of rod should not be appreciable while the rods will be driven into the ground by the application of heavy intermittent</w:t>
            </w:r>
          </w:p>
          <w:p w:rsidR="008B1F16" w:rsidRDefault="008B1F16" w:rsidP="00724361">
            <w:pPr>
              <w:pStyle w:val="TableParagraph"/>
              <w:spacing w:before="5" w:line="228" w:lineRule="exact"/>
              <w:ind w:right="325"/>
              <w:rPr>
                <w:sz w:val="19"/>
              </w:rPr>
            </w:pPr>
            <w:proofErr w:type="gramStart"/>
            <w:r>
              <w:rPr>
                <w:sz w:val="19"/>
              </w:rPr>
              <w:t>block</w:t>
            </w:r>
            <w:proofErr w:type="gramEnd"/>
            <w:r>
              <w:rPr>
                <w:sz w:val="19"/>
              </w:rPr>
              <w:t xml:space="preserve"> not less than 7.5 Kg. Hammer and in a manner as is usual for driving rods into the grounds.</w:t>
            </w:r>
          </w:p>
        </w:tc>
      </w:tr>
      <w:tr w:rsidR="008B1F16" w:rsidTr="008B1F16">
        <w:trPr>
          <w:trHeight w:val="828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line="160" w:lineRule="exact"/>
              <w:ind w:left="200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line="160" w:lineRule="exact"/>
              <w:rPr>
                <w:b/>
                <w:sz w:val="19"/>
              </w:rPr>
            </w:pPr>
            <w:r>
              <w:rPr>
                <w:b/>
                <w:sz w:val="19"/>
                <w:u w:val="thick"/>
              </w:rPr>
              <w:t>GUARANTEE, TESTING &amp; INSPECTION :</w:t>
            </w:r>
          </w:p>
          <w:p w:rsidR="008B1F16" w:rsidRDefault="008B1F16" w:rsidP="00724361">
            <w:pPr>
              <w:pStyle w:val="TableParagraph"/>
              <w:spacing w:before="114" w:line="237" w:lineRule="auto"/>
              <w:ind w:right="325"/>
              <w:rPr>
                <w:sz w:val="19"/>
              </w:rPr>
            </w:pPr>
            <w:r>
              <w:rPr>
                <w:sz w:val="19"/>
              </w:rPr>
              <w:t>Eight copies of test certificates should be furnished along with the offer of inspection. Following tests will be carried out by our inspecting Engineers before acceptance of any materials :</w:t>
            </w:r>
          </w:p>
        </w:tc>
      </w:tr>
      <w:tr w:rsidR="008B1F16" w:rsidTr="008B1F16">
        <w:trPr>
          <w:trHeight w:val="451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96"/>
              <w:ind w:left="200"/>
              <w:rPr>
                <w:sz w:val="19"/>
              </w:rPr>
            </w:pPr>
            <w:proofErr w:type="spellStart"/>
            <w:r>
              <w:rPr>
                <w:sz w:val="19"/>
              </w:rPr>
              <w:t>i</w:t>
            </w:r>
            <w:proofErr w:type="spellEnd"/>
            <w:r>
              <w:rPr>
                <w:sz w:val="19"/>
              </w:rPr>
              <w:t>)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96"/>
              <w:rPr>
                <w:sz w:val="19"/>
              </w:rPr>
            </w:pPr>
            <w:r>
              <w:rPr>
                <w:sz w:val="19"/>
              </w:rPr>
              <w:t xml:space="preserve">Galvanizing tests as per the relevant I.S.S. On 1% of the offered lot </w:t>
            </w:r>
            <w:proofErr w:type="spellStart"/>
            <w:r>
              <w:rPr>
                <w:sz w:val="19"/>
              </w:rPr>
              <w:t>upto</w:t>
            </w:r>
            <w:proofErr w:type="spellEnd"/>
            <w:r>
              <w:rPr>
                <w:sz w:val="19"/>
              </w:rPr>
              <w:t xml:space="preserve"> the maximum of 5 Nos.</w:t>
            </w:r>
          </w:p>
        </w:tc>
      </w:tr>
      <w:tr w:rsidR="008B1F16" w:rsidTr="008B1F16">
        <w:trPr>
          <w:trHeight w:val="457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123"/>
              <w:ind w:left="200"/>
              <w:rPr>
                <w:sz w:val="19"/>
              </w:rPr>
            </w:pPr>
            <w:r>
              <w:rPr>
                <w:sz w:val="19"/>
              </w:rPr>
              <w:t>ii)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123"/>
              <w:ind w:left="2"/>
              <w:rPr>
                <w:sz w:val="19"/>
              </w:rPr>
            </w:pPr>
            <w:r>
              <w:rPr>
                <w:sz w:val="19"/>
              </w:rPr>
              <w:t xml:space="preserve">Dimensional check on 1% of the offered lot </w:t>
            </w:r>
            <w:proofErr w:type="spellStart"/>
            <w:r>
              <w:rPr>
                <w:sz w:val="19"/>
              </w:rPr>
              <w:t>upto</w:t>
            </w:r>
            <w:proofErr w:type="spellEnd"/>
            <w:r>
              <w:rPr>
                <w:sz w:val="19"/>
              </w:rPr>
              <w:t xml:space="preserve"> the maximum of 10 Nos.</w:t>
            </w:r>
          </w:p>
        </w:tc>
      </w:tr>
      <w:tr w:rsidR="008B1F16" w:rsidTr="008B1F16">
        <w:trPr>
          <w:trHeight w:val="670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105"/>
              <w:ind w:left="200"/>
              <w:rPr>
                <w:sz w:val="19"/>
              </w:rPr>
            </w:pPr>
            <w:r>
              <w:rPr>
                <w:sz w:val="19"/>
              </w:rPr>
              <w:t>iii)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102" w:line="231" w:lineRule="exact"/>
              <w:rPr>
                <w:sz w:val="19"/>
              </w:rPr>
            </w:pPr>
            <w:r>
              <w:rPr>
                <w:sz w:val="19"/>
              </w:rPr>
              <w:t>Stores test by hammering (7/8 times) the rods into the normal soil by a hammer (not less than</w:t>
            </w:r>
          </w:p>
          <w:p w:rsidR="008B1F16" w:rsidRDefault="008B1F16" w:rsidP="00724361">
            <w:pPr>
              <w:pStyle w:val="TableParagraph"/>
              <w:spacing w:line="231" w:lineRule="exact"/>
              <w:rPr>
                <w:sz w:val="19"/>
              </w:rPr>
            </w:pPr>
            <w:r>
              <w:rPr>
                <w:sz w:val="19"/>
              </w:rPr>
              <w:t xml:space="preserve">7.5 Kg) on 1% of the offered lot </w:t>
            </w:r>
            <w:proofErr w:type="spellStart"/>
            <w:r>
              <w:rPr>
                <w:sz w:val="19"/>
              </w:rPr>
              <w:t>upto</w:t>
            </w:r>
            <w:proofErr w:type="spellEnd"/>
            <w:r>
              <w:rPr>
                <w:sz w:val="19"/>
              </w:rPr>
              <w:t xml:space="preserve"> the maximum of 2 nos.</w:t>
            </w:r>
          </w:p>
        </w:tc>
      </w:tr>
      <w:tr w:rsidR="008B1F16" w:rsidTr="008B1F16">
        <w:trPr>
          <w:trHeight w:val="331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106" w:line="205" w:lineRule="exact"/>
              <w:ind w:left="200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8545" w:type="dxa"/>
            <w:tcBorders>
              <w:bottom w:val="single" w:sz="12" w:space="0" w:color="000000"/>
            </w:tcBorders>
          </w:tcPr>
          <w:p w:rsidR="008B1F16" w:rsidRDefault="008B1F16" w:rsidP="00724361">
            <w:pPr>
              <w:pStyle w:val="TableParagraph"/>
              <w:spacing w:before="106" w:line="180" w:lineRule="exact"/>
              <w:rPr>
                <w:b/>
                <w:sz w:val="19"/>
              </w:rPr>
            </w:pPr>
            <w:r>
              <w:rPr>
                <w:b/>
                <w:sz w:val="19"/>
              </w:rPr>
              <w:t>ACCEPTANCE CRITERIES FOR 1</w:t>
            </w:r>
            <w:r>
              <w:rPr>
                <w:b/>
                <w:position w:val="8"/>
                <w:sz w:val="12"/>
              </w:rPr>
              <w:t xml:space="preserve">ST </w:t>
            </w:r>
            <w:r>
              <w:rPr>
                <w:b/>
                <w:sz w:val="19"/>
              </w:rPr>
              <w:t>SAMPLE</w:t>
            </w:r>
          </w:p>
        </w:tc>
      </w:tr>
      <w:tr w:rsidR="008B1F16" w:rsidTr="008B1F16">
        <w:trPr>
          <w:trHeight w:val="703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183" w:line="230" w:lineRule="exact"/>
              <w:ind w:left="200"/>
              <w:rPr>
                <w:sz w:val="19"/>
              </w:rPr>
            </w:pPr>
            <w:r>
              <w:rPr>
                <w:sz w:val="19"/>
              </w:rPr>
              <w:t>A.</w:t>
            </w:r>
          </w:p>
          <w:p w:rsidR="008B1F16" w:rsidRDefault="008B1F16" w:rsidP="00724361">
            <w:pPr>
              <w:pStyle w:val="TableParagraph"/>
              <w:spacing w:line="230" w:lineRule="exact"/>
              <w:ind w:left="200"/>
              <w:rPr>
                <w:sz w:val="19"/>
              </w:rPr>
            </w:pPr>
            <w:r>
              <w:rPr>
                <w:spacing w:val="-3"/>
                <w:sz w:val="19"/>
              </w:rPr>
              <w:t>(a)</w:t>
            </w:r>
          </w:p>
        </w:tc>
        <w:tc>
          <w:tcPr>
            <w:tcW w:w="8545" w:type="dxa"/>
            <w:tcBorders>
              <w:top w:val="single" w:sz="12" w:space="0" w:color="000000"/>
            </w:tcBorders>
          </w:tcPr>
          <w:p w:rsidR="008B1F16" w:rsidRDefault="008B1F16" w:rsidP="00724361">
            <w:pPr>
              <w:pStyle w:val="TableParagraph"/>
              <w:spacing w:before="211" w:line="249" w:lineRule="auto"/>
              <w:ind w:right="325"/>
              <w:rPr>
                <w:sz w:val="19"/>
              </w:rPr>
            </w:pPr>
            <w:r>
              <w:rPr>
                <w:sz w:val="19"/>
              </w:rPr>
              <w:t>Failure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-4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Galvanising</w:t>
            </w:r>
            <w:proofErr w:type="spellEnd"/>
            <w:r>
              <w:rPr>
                <w:spacing w:val="-15"/>
                <w:sz w:val="19"/>
              </w:rPr>
              <w:t xml:space="preserve"> </w:t>
            </w:r>
            <w:r>
              <w:rPr>
                <w:sz w:val="19"/>
              </w:rPr>
              <w:t>test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dimensional</w:t>
            </w:r>
            <w:r>
              <w:rPr>
                <w:spacing w:val="-18"/>
                <w:sz w:val="19"/>
              </w:rPr>
              <w:t xml:space="preserve"> </w:t>
            </w:r>
            <w:r>
              <w:rPr>
                <w:sz w:val="19"/>
              </w:rPr>
              <w:t>check</w:t>
            </w:r>
            <w:r>
              <w:rPr>
                <w:spacing w:val="-9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upto</w:t>
            </w:r>
            <w:proofErr w:type="spellEnd"/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1/5</w:t>
            </w:r>
            <w:r>
              <w:rPr>
                <w:sz w:val="19"/>
                <w:vertAlign w:val="superscript"/>
              </w:rPr>
              <w:t>th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will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conform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lot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for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acceptance. But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case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dimensional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check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failure</w:t>
            </w:r>
            <w:r>
              <w:rPr>
                <w:spacing w:val="-9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upto</w:t>
            </w:r>
            <w:proofErr w:type="spellEnd"/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1/5</w:t>
            </w:r>
            <w:r>
              <w:rPr>
                <w:sz w:val="19"/>
                <w:vertAlign w:val="superscript"/>
              </w:rPr>
              <w:t>th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will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be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restricted</w:t>
            </w:r>
            <w:r>
              <w:rPr>
                <w:spacing w:val="-1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upto</w:t>
            </w:r>
            <w:proofErr w:type="spellEnd"/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follows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:</w:t>
            </w:r>
          </w:p>
        </w:tc>
      </w:tr>
      <w:tr w:rsidR="008B1F16" w:rsidTr="008B1F16">
        <w:trPr>
          <w:trHeight w:val="302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45"/>
              <w:ind w:left="200"/>
              <w:rPr>
                <w:sz w:val="19"/>
              </w:rPr>
            </w:pPr>
            <w:proofErr w:type="spellStart"/>
            <w:r>
              <w:rPr>
                <w:sz w:val="19"/>
              </w:rPr>
              <w:t>i</w:t>
            </w:r>
            <w:proofErr w:type="spellEnd"/>
            <w:r>
              <w:rPr>
                <w:sz w:val="19"/>
              </w:rPr>
              <w:t>)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45"/>
              <w:rPr>
                <w:sz w:val="19"/>
              </w:rPr>
            </w:pPr>
            <w:r>
              <w:rPr>
                <w:sz w:val="19"/>
              </w:rPr>
              <w:t>1% on total length</w:t>
            </w:r>
          </w:p>
        </w:tc>
      </w:tr>
      <w:tr w:rsidR="008B1F16" w:rsidTr="008B1F16">
        <w:trPr>
          <w:trHeight w:val="350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26"/>
              <w:ind w:left="200"/>
              <w:rPr>
                <w:sz w:val="19"/>
              </w:rPr>
            </w:pPr>
            <w:r>
              <w:rPr>
                <w:sz w:val="19"/>
              </w:rPr>
              <w:t>ii)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26"/>
              <w:rPr>
                <w:sz w:val="19"/>
              </w:rPr>
            </w:pPr>
            <w:r>
              <w:rPr>
                <w:sz w:val="19"/>
              </w:rPr>
              <w:t>7½% on other dimension except 15 mm, 25 mm &amp; 40 mm of small forged portion.</w:t>
            </w:r>
          </w:p>
        </w:tc>
      </w:tr>
      <w:tr w:rsidR="008B1F16" w:rsidTr="008B1F16">
        <w:trPr>
          <w:trHeight w:val="770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93"/>
              <w:ind w:left="200"/>
              <w:rPr>
                <w:sz w:val="19"/>
              </w:rPr>
            </w:pPr>
            <w:r>
              <w:rPr>
                <w:sz w:val="19"/>
              </w:rPr>
              <w:t>iii)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12" w:line="340" w:lineRule="exact"/>
              <w:ind w:right="1809"/>
              <w:rPr>
                <w:sz w:val="19"/>
              </w:rPr>
            </w:pPr>
            <w:r>
              <w:rPr>
                <w:sz w:val="19"/>
              </w:rPr>
              <w:t>No failure will be accepted in 15 mm, 25 mm, &amp; 40 mm of small forged portion. If the failure is beyond the above tolerance, re-sampling may be made</w:t>
            </w:r>
          </w:p>
        </w:tc>
      </w:tr>
      <w:tr w:rsidR="008B1F16" w:rsidTr="008B1F16">
        <w:trPr>
          <w:trHeight w:val="675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105"/>
              <w:ind w:left="200"/>
              <w:rPr>
                <w:sz w:val="19"/>
              </w:rPr>
            </w:pPr>
            <w:r>
              <w:rPr>
                <w:sz w:val="19"/>
              </w:rPr>
              <w:t>B.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tabs>
                <w:tab w:val="left" w:pos="721"/>
              </w:tabs>
              <w:spacing w:before="66" w:line="270" w:lineRule="atLeast"/>
              <w:ind w:right="1304"/>
              <w:rPr>
                <w:sz w:val="19"/>
              </w:rPr>
            </w:pPr>
            <w:r>
              <w:rPr>
                <w:sz w:val="19"/>
              </w:rPr>
              <w:t>If the failure in each of the above tests are more than 1/5th but less than or equal to 2/5th</w:t>
            </w:r>
            <w:r>
              <w:rPr>
                <w:sz w:val="19"/>
              </w:rPr>
              <w:tab/>
              <w:t>re-sampling in the same manner will be made for the test(s) in which</w:t>
            </w:r>
            <w:r>
              <w:rPr>
                <w:spacing w:val="-20"/>
                <w:sz w:val="19"/>
              </w:rPr>
              <w:t xml:space="preserve"> </w:t>
            </w:r>
            <w:r>
              <w:rPr>
                <w:sz w:val="19"/>
              </w:rPr>
              <w:t>failed.</w:t>
            </w:r>
          </w:p>
        </w:tc>
      </w:tr>
      <w:tr w:rsidR="008B1F16" w:rsidTr="008B1F16">
        <w:trPr>
          <w:trHeight w:val="566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63"/>
              <w:ind w:left="200"/>
              <w:rPr>
                <w:sz w:val="19"/>
              </w:rPr>
            </w:pPr>
            <w:r>
              <w:rPr>
                <w:sz w:val="19"/>
              </w:rPr>
              <w:t>C.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63"/>
              <w:ind w:right="829"/>
              <w:rPr>
                <w:sz w:val="19"/>
              </w:rPr>
            </w:pPr>
            <w:r>
              <w:rPr>
                <w:sz w:val="19"/>
              </w:rPr>
              <w:t>However, if the failure in any of the above tests is greater than 2/5th the whole lot will be rejected.</w:t>
            </w:r>
          </w:p>
        </w:tc>
      </w:tr>
      <w:tr w:rsidR="008B1F16" w:rsidTr="008B1F16">
        <w:trPr>
          <w:trHeight w:val="625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41"/>
              <w:ind w:left="200"/>
              <w:rPr>
                <w:sz w:val="19"/>
              </w:rPr>
            </w:pPr>
            <w:r>
              <w:rPr>
                <w:sz w:val="19"/>
              </w:rPr>
              <w:lastRenderedPageBreak/>
              <w:t>D.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41"/>
              <w:rPr>
                <w:sz w:val="19"/>
              </w:rPr>
            </w:pPr>
            <w:r>
              <w:rPr>
                <w:sz w:val="19"/>
              </w:rPr>
              <w:t>For 2nd Sample :</w:t>
            </w:r>
          </w:p>
          <w:p w:rsidR="008B1F16" w:rsidRDefault="008B1F16" w:rsidP="00724361">
            <w:pPr>
              <w:pStyle w:val="TableParagraph"/>
              <w:spacing w:before="46"/>
              <w:rPr>
                <w:sz w:val="19"/>
              </w:rPr>
            </w:pPr>
            <w:r>
              <w:rPr>
                <w:sz w:val="19"/>
              </w:rPr>
              <w:t>In case of failure as (a) above the lot will conform for acceptance.</w:t>
            </w:r>
          </w:p>
        </w:tc>
      </w:tr>
      <w:tr w:rsidR="008B1F16" w:rsidTr="008B1F16">
        <w:trPr>
          <w:trHeight w:val="583"/>
        </w:trPr>
        <w:tc>
          <w:tcPr>
            <w:tcW w:w="714" w:type="dxa"/>
          </w:tcPr>
          <w:p w:rsidR="008B1F16" w:rsidRDefault="008B1F16" w:rsidP="00724361">
            <w:pPr>
              <w:pStyle w:val="TableParagraph"/>
              <w:spacing w:before="76"/>
              <w:ind w:left="200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8545" w:type="dxa"/>
          </w:tcPr>
          <w:p w:rsidR="008B1F16" w:rsidRDefault="008B1F16" w:rsidP="00724361">
            <w:pPr>
              <w:pStyle w:val="TableParagraph"/>
              <w:spacing w:before="76"/>
              <w:rPr>
                <w:sz w:val="19"/>
              </w:rPr>
            </w:pPr>
            <w:r>
              <w:rPr>
                <w:sz w:val="19"/>
              </w:rPr>
              <w:t>MARKING :</w:t>
            </w:r>
          </w:p>
          <w:p w:rsidR="008B1F16" w:rsidRDefault="008B1F16" w:rsidP="008B1F16">
            <w:pPr>
              <w:pStyle w:val="TableParagraph"/>
              <w:spacing w:before="45" w:line="211" w:lineRule="exact"/>
              <w:rPr>
                <w:sz w:val="19"/>
              </w:rPr>
            </w:pPr>
            <w:r>
              <w:rPr>
                <w:sz w:val="19"/>
              </w:rPr>
              <w:t>Identification marking is to be punche</w:t>
            </w:r>
            <w:r>
              <w:rPr>
                <w:sz w:val="19"/>
              </w:rPr>
              <w:t>d on the Head of the Earth Rod.</w:t>
            </w:r>
          </w:p>
        </w:tc>
      </w:tr>
    </w:tbl>
    <w:p w:rsidR="00B00226" w:rsidRDefault="00B00226"/>
    <w:sectPr w:rsidR="00B002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16"/>
    <w:rsid w:val="008B1F16"/>
    <w:rsid w:val="00B0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B7DF1C-6DB1-4F1B-9F81-D2B6D6DF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B1F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Heading4">
    <w:name w:val="heading 4"/>
    <w:basedOn w:val="Normal"/>
    <w:link w:val="Heading4Char"/>
    <w:uiPriority w:val="1"/>
    <w:qFormat/>
    <w:rsid w:val="008B1F16"/>
    <w:pPr>
      <w:ind w:right="1004"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rsid w:val="008B1F16"/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8B1F16"/>
  </w:style>
  <w:style w:type="character" w:customStyle="1" w:styleId="BodyTextChar">
    <w:name w:val="Body Text Char"/>
    <w:basedOn w:val="DefaultParagraphFont"/>
    <w:link w:val="BodyText"/>
    <w:uiPriority w:val="1"/>
    <w:rsid w:val="008B1F16"/>
    <w:rPr>
      <w:rFonts w:ascii="Times New Roman" w:eastAsia="Times New Roman" w:hAnsi="Times New Roman" w:cs="Times New Roman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8B1F16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2020-06-09T05:22:00Z</dcterms:created>
  <dcterms:modified xsi:type="dcterms:W3CDTF">2020-06-09T05:23:00Z</dcterms:modified>
</cp:coreProperties>
</file>