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C55" w:rsidRDefault="00EE3C55" w:rsidP="00EE3C55">
      <w:pPr>
        <w:pStyle w:val="Heading3"/>
        <w:spacing w:before="134"/>
        <w:ind w:left="275" w:right="0"/>
        <w:jc w:val="left"/>
      </w:pPr>
      <w:r>
        <w:rPr>
          <w:b w:val="0"/>
        </w:rPr>
        <w:br w:type="column"/>
      </w:r>
      <w:r>
        <w:rPr>
          <w:u w:val="thick"/>
        </w:rPr>
        <w:t>Annexure – ‘B’</w:t>
      </w:r>
    </w:p>
    <w:p w:rsidR="00EE3C55" w:rsidRDefault="00EE3C55" w:rsidP="00EE3C55"/>
    <w:p w:rsidR="00EE3C55" w:rsidRDefault="00EE3C55" w:rsidP="00EE3C55">
      <w:pPr>
        <w:ind w:left="275"/>
        <w:rPr>
          <w:sz w:val="24"/>
        </w:rPr>
      </w:pPr>
      <w:r>
        <w:t xml:space="preserve">TECHNICAL SPECIFICATION </w:t>
      </w:r>
      <w:r>
        <w:rPr>
          <w:sz w:val="24"/>
        </w:rPr>
        <w:t>G.I Wire of different sizes</w:t>
      </w:r>
    </w:p>
    <w:p w:rsidR="00EE3C55" w:rsidRDefault="00EE3C55" w:rsidP="00EE3C55">
      <w:pPr>
        <w:sectPr w:rsidR="00EE3C55" w:rsidSect="00EE3C55">
          <w:pgSz w:w="11930" w:h="16850"/>
          <w:pgMar w:top="1320" w:right="720" w:bottom="280" w:left="1220" w:header="720" w:footer="720" w:gutter="0"/>
          <w:cols w:num="3" w:space="720" w:equalWidth="0">
            <w:col w:w="1663" w:space="295"/>
            <w:col w:w="5825" w:space="227"/>
            <w:col w:w="1980"/>
          </w:cols>
        </w:sectPr>
      </w:pPr>
      <w:bookmarkStart w:id="0" w:name="_GoBack"/>
      <w:bookmarkEnd w:id="0"/>
    </w:p>
    <w:p w:rsidR="00EE3C55" w:rsidRDefault="00EE3C55" w:rsidP="00EE3C55">
      <w:pPr>
        <w:pStyle w:val="BodyText"/>
        <w:spacing w:before="4"/>
        <w:rPr>
          <w:b/>
          <w:sz w:val="24"/>
        </w:rPr>
      </w:pPr>
      <w:r>
        <w:rPr>
          <w:b/>
          <w:sz w:val="24"/>
        </w:rPr>
        <w:t xml:space="preserve">Scope: </w:t>
      </w:r>
    </w:p>
    <w:p w:rsidR="00EE3C55" w:rsidRDefault="00EE3C55" w:rsidP="00EE3C55">
      <w:pPr>
        <w:pStyle w:val="BodyText"/>
        <w:spacing w:before="91"/>
        <w:ind w:left="940"/>
        <w:jc w:val="both"/>
      </w:pPr>
      <w:r>
        <w:t>This specification covers details of solid G.I. Wires for use in distribution system.</w:t>
      </w:r>
    </w:p>
    <w:p w:rsidR="00EE3C55" w:rsidRDefault="00EE3C55" w:rsidP="00EE3C55">
      <w:pPr>
        <w:pStyle w:val="BodyText"/>
        <w:spacing w:before="6"/>
        <w:rPr>
          <w:sz w:val="32"/>
        </w:rPr>
      </w:pPr>
    </w:p>
    <w:p w:rsidR="00EE3C55" w:rsidRDefault="00EE3C55" w:rsidP="00EE3C55">
      <w:pPr>
        <w:pStyle w:val="ListParagraph"/>
        <w:numPr>
          <w:ilvl w:val="1"/>
          <w:numId w:val="3"/>
        </w:numPr>
        <w:tabs>
          <w:tab w:val="left" w:pos="937"/>
          <w:tab w:val="left" w:pos="939"/>
        </w:tabs>
        <w:ind w:hanging="719"/>
        <w:jc w:val="left"/>
      </w:pPr>
      <w:r>
        <w:t>APPLICABLE</w:t>
      </w:r>
      <w:r>
        <w:rPr>
          <w:spacing w:val="53"/>
        </w:rPr>
        <w:t xml:space="preserve"> </w:t>
      </w:r>
      <w:r>
        <w:t>STANDARDS</w:t>
      </w:r>
    </w:p>
    <w:p w:rsidR="00EE3C55" w:rsidRDefault="00EE3C55" w:rsidP="00EE3C55">
      <w:pPr>
        <w:pStyle w:val="BodyText"/>
        <w:spacing w:before="8"/>
        <w:rPr>
          <w:sz w:val="32"/>
        </w:rPr>
      </w:pPr>
    </w:p>
    <w:p w:rsidR="00EE3C55" w:rsidRDefault="00EE3C55" w:rsidP="00EE3C55">
      <w:pPr>
        <w:pStyle w:val="BodyText"/>
        <w:spacing w:line="273" w:lineRule="auto"/>
        <w:ind w:left="940" w:right="1407"/>
        <w:jc w:val="both"/>
      </w:pPr>
      <w:r>
        <w:t>Except when they conflict with the specific requirements of this specification, the G.I. wires shall comply with the provisions of IS</w:t>
      </w:r>
      <w:proofErr w:type="gramStart"/>
      <w:r>
        <w:t>:280</w:t>
      </w:r>
      <w:proofErr w:type="gramEnd"/>
      <w:r>
        <w:t>-1978 and IS:7887-1975 or the latest version thereof.</w:t>
      </w:r>
    </w:p>
    <w:p w:rsidR="00EE3C55" w:rsidRDefault="00EE3C55" w:rsidP="00EE3C55">
      <w:pPr>
        <w:pStyle w:val="BodyText"/>
        <w:spacing w:before="9"/>
        <w:rPr>
          <w:sz w:val="29"/>
        </w:rPr>
      </w:pPr>
    </w:p>
    <w:p w:rsidR="00EE3C55" w:rsidRDefault="00EE3C55" w:rsidP="00EE3C55">
      <w:pPr>
        <w:pStyle w:val="ListParagraph"/>
        <w:numPr>
          <w:ilvl w:val="1"/>
          <w:numId w:val="3"/>
        </w:numPr>
        <w:tabs>
          <w:tab w:val="left" w:pos="937"/>
          <w:tab w:val="left" w:pos="939"/>
        </w:tabs>
        <w:ind w:hanging="719"/>
        <w:jc w:val="left"/>
      </w:pPr>
      <w:r>
        <w:t>APPLICATION &amp;</w:t>
      </w:r>
      <w:r>
        <w:rPr>
          <w:spacing w:val="-1"/>
        </w:rPr>
        <w:t xml:space="preserve"> </w:t>
      </w:r>
      <w:r>
        <w:t>SIZES</w:t>
      </w:r>
    </w:p>
    <w:p w:rsidR="00EE3C55" w:rsidRDefault="00EE3C55" w:rsidP="00EE3C55">
      <w:pPr>
        <w:pStyle w:val="BodyText"/>
        <w:spacing w:before="6"/>
        <w:rPr>
          <w:sz w:val="29"/>
        </w:rPr>
      </w:pPr>
    </w:p>
    <w:p w:rsidR="00EE3C55" w:rsidRDefault="00EE3C55" w:rsidP="00EE3C55">
      <w:pPr>
        <w:pStyle w:val="BodyText"/>
        <w:ind w:left="940"/>
      </w:pPr>
      <w:r>
        <w:t xml:space="preserve">G.I. wires covered in this Specification are intended for the following </w:t>
      </w:r>
      <w:proofErr w:type="gramStart"/>
      <w:r>
        <w:t>applications :</w:t>
      </w:r>
      <w:proofErr w:type="gramEnd"/>
    </w:p>
    <w:p w:rsidR="00EE3C55" w:rsidRDefault="00EE3C55" w:rsidP="00EE3C55">
      <w:pPr>
        <w:pStyle w:val="BodyText"/>
        <w:rPr>
          <w:sz w:val="20"/>
        </w:rPr>
      </w:pPr>
    </w:p>
    <w:p w:rsidR="00EE3C55" w:rsidRDefault="00EE3C55" w:rsidP="00EE3C55">
      <w:pPr>
        <w:pStyle w:val="BodyText"/>
        <w:spacing w:before="2"/>
        <w:rPr>
          <w:sz w:val="12"/>
        </w:rPr>
      </w:pPr>
    </w:p>
    <w:tbl>
      <w:tblPr>
        <w:tblW w:w="0" w:type="auto"/>
        <w:tblInd w:w="1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96"/>
        <w:gridCol w:w="4139"/>
      </w:tblGrid>
      <w:tr w:rsidR="00EE3C55" w:rsidTr="00E31909">
        <w:trPr>
          <w:trHeight w:val="330"/>
        </w:trPr>
        <w:tc>
          <w:tcPr>
            <w:tcW w:w="3896" w:type="dxa"/>
          </w:tcPr>
          <w:p w:rsidR="00EE3C55" w:rsidRDefault="00EE3C55" w:rsidP="00E31909">
            <w:pPr>
              <w:pStyle w:val="TableParagraph"/>
              <w:spacing w:before="49"/>
              <w:ind w:left="1411" w:right="1396"/>
              <w:jc w:val="center"/>
            </w:pPr>
            <w:r>
              <w:t>Application</w:t>
            </w:r>
          </w:p>
        </w:tc>
        <w:tc>
          <w:tcPr>
            <w:tcW w:w="4139" w:type="dxa"/>
          </w:tcPr>
          <w:p w:rsidR="00EE3C55" w:rsidRDefault="00EE3C55" w:rsidP="00E31909">
            <w:pPr>
              <w:pStyle w:val="TableParagraph"/>
              <w:spacing w:before="49"/>
              <w:ind w:left="1048"/>
            </w:pPr>
            <w:r>
              <w:t xml:space="preserve">Sizes (nominal </w:t>
            </w:r>
            <w:proofErr w:type="spellStart"/>
            <w:r>
              <w:t>dia</w:t>
            </w:r>
            <w:proofErr w:type="spellEnd"/>
            <w:r>
              <w:t>)</w:t>
            </w:r>
          </w:p>
        </w:tc>
      </w:tr>
      <w:tr w:rsidR="00EE3C55" w:rsidTr="00E31909">
        <w:trPr>
          <w:trHeight w:val="760"/>
        </w:trPr>
        <w:tc>
          <w:tcPr>
            <w:tcW w:w="3896" w:type="dxa"/>
          </w:tcPr>
          <w:p w:rsidR="00EE3C55" w:rsidRDefault="00EE3C55" w:rsidP="00E31909">
            <w:pPr>
              <w:pStyle w:val="TableParagraph"/>
              <w:spacing w:before="176"/>
              <w:ind w:left="863"/>
            </w:pPr>
            <w:r>
              <w:t>Bearer wire for service</w:t>
            </w:r>
          </w:p>
        </w:tc>
        <w:tc>
          <w:tcPr>
            <w:tcW w:w="4139" w:type="dxa"/>
          </w:tcPr>
          <w:p w:rsidR="00EE3C55" w:rsidRDefault="00EE3C55" w:rsidP="00E31909">
            <w:pPr>
              <w:pStyle w:val="TableParagraph"/>
              <w:spacing w:before="53"/>
              <w:ind w:left="54"/>
            </w:pPr>
            <w:r>
              <w:t>3.15mm (for single phase cables services</w:t>
            </w:r>
          </w:p>
          <w:p w:rsidR="00EE3C55" w:rsidRDefault="00EE3C55" w:rsidP="00E31909">
            <w:pPr>
              <w:pStyle w:val="TableParagraph"/>
              <w:spacing w:before="93"/>
              <w:ind w:left="54"/>
            </w:pPr>
            <w:r>
              <w:t>4 mm ( for three phase services)</w:t>
            </w:r>
          </w:p>
        </w:tc>
      </w:tr>
      <w:tr w:rsidR="00EE3C55" w:rsidTr="00E31909">
        <w:trPr>
          <w:trHeight w:val="726"/>
        </w:trPr>
        <w:tc>
          <w:tcPr>
            <w:tcW w:w="3896" w:type="dxa"/>
          </w:tcPr>
          <w:p w:rsidR="00EE3C55" w:rsidRDefault="00EE3C55" w:rsidP="00E31909">
            <w:pPr>
              <w:pStyle w:val="TableParagraph"/>
              <w:spacing w:before="164"/>
              <w:ind w:left="43" w:right="99"/>
            </w:pPr>
            <w:proofErr w:type="spellStart"/>
            <w:r>
              <w:t>Earthing</w:t>
            </w:r>
            <w:proofErr w:type="spellEnd"/>
            <w:r>
              <w:t xml:space="preserve"> of Transformers, poles &amp; Fittings.</w:t>
            </w:r>
          </w:p>
        </w:tc>
        <w:tc>
          <w:tcPr>
            <w:tcW w:w="4139" w:type="dxa"/>
          </w:tcPr>
          <w:p w:rsidR="00EE3C55" w:rsidRDefault="00EE3C55" w:rsidP="00E31909">
            <w:pPr>
              <w:pStyle w:val="TableParagraph"/>
              <w:spacing w:before="164"/>
              <w:ind w:left="1635" w:right="1383"/>
              <w:jc w:val="center"/>
            </w:pPr>
            <w:r>
              <w:t>5mm, 4 mm</w:t>
            </w:r>
          </w:p>
        </w:tc>
      </w:tr>
      <w:tr w:rsidR="00EE3C55" w:rsidTr="00E31909">
        <w:trPr>
          <w:trHeight w:val="568"/>
        </w:trPr>
        <w:tc>
          <w:tcPr>
            <w:tcW w:w="3896" w:type="dxa"/>
          </w:tcPr>
          <w:p w:rsidR="00EE3C55" w:rsidRDefault="00EE3C55" w:rsidP="00E31909">
            <w:pPr>
              <w:pStyle w:val="TableParagraph"/>
              <w:spacing w:before="164"/>
              <w:ind w:left="74"/>
            </w:pPr>
            <w:r>
              <w:t xml:space="preserve">Continuous </w:t>
            </w:r>
            <w:proofErr w:type="spellStart"/>
            <w:r>
              <w:t>Earthwire</w:t>
            </w:r>
            <w:proofErr w:type="spellEnd"/>
            <w:r>
              <w:t xml:space="preserve"> for. 11 KV lines</w:t>
            </w:r>
          </w:p>
        </w:tc>
        <w:tc>
          <w:tcPr>
            <w:tcW w:w="4139" w:type="dxa"/>
          </w:tcPr>
          <w:p w:rsidR="00EE3C55" w:rsidRDefault="00EE3C55" w:rsidP="00E31909">
            <w:pPr>
              <w:pStyle w:val="TableParagraph"/>
              <w:spacing w:before="164"/>
              <w:ind w:left="1400" w:right="1383"/>
              <w:jc w:val="center"/>
            </w:pPr>
            <w:r>
              <w:t>4 mm</w:t>
            </w:r>
          </w:p>
        </w:tc>
      </w:tr>
      <w:tr w:rsidR="00EE3C55" w:rsidTr="00E31909">
        <w:trPr>
          <w:trHeight w:val="1132"/>
        </w:trPr>
        <w:tc>
          <w:tcPr>
            <w:tcW w:w="3896" w:type="dxa"/>
          </w:tcPr>
          <w:p w:rsidR="00EE3C55" w:rsidRDefault="00EE3C55" w:rsidP="00E31909">
            <w:pPr>
              <w:pStyle w:val="TableParagraph"/>
              <w:spacing w:before="128"/>
              <w:ind w:left="74"/>
            </w:pPr>
            <w:r>
              <w:t>Protective guarding at the crossing of</w:t>
            </w:r>
          </w:p>
          <w:p w:rsidR="00EE3C55" w:rsidRDefault="00EE3C55" w:rsidP="00E31909">
            <w:pPr>
              <w:pStyle w:val="TableParagraph"/>
              <w:spacing w:before="92" w:line="273" w:lineRule="auto"/>
              <w:ind w:left="215" w:right="90" w:hanging="87"/>
            </w:pPr>
            <w:r>
              <w:t xml:space="preserve">over-head power lines with </w:t>
            </w:r>
            <w:proofErr w:type="spellStart"/>
            <w:r>
              <w:t>roads,railway</w:t>
            </w:r>
            <w:proofErr w:type="spellEnd"/>
            <w:r>
              <w:t xml:space="preserve"> tracts and telecommunication lines</w:t>
            </w:r>
          </w:p>
        </w:tc>
        <w:tc>
          <w:tcPr>
            <w:tcW w:w="4139" w:type="dxa"/>
          </w:tcPr>
          <w:p w:rsidR="00EE3C55" w:rsidRDefault="00EE3C55" w:rsidP="00E31909">
            <w:pPr>
              <w:pStyle w:val="TableParagraph"/>
              <w:rPr>
                <w:sz w:val="24"/>
              </w:rPr>
            </w:pPr>
          </w:p>
          <w:p w:rsidR="00EE3C55" w:rsidRDefault="00EE3C55" w:rsidP="00E31909">
            <w:pPr>
              <w:pStyle w:val="TableParagraph"/>
              <w:spacing w:before="149"/>
              <w:ind w:left="1204"/>
            </w:pPr>
            <w:r>
              <w:t>3.15, 4mm, 1.6mm</w:t>
            </w:r>
          </w:p>
        </w:tc>
      </w:tr>
    </w:tbl>
    <w:p w:rsidR="00EE3C55" w:rsidRDefault="00EE3C55" w:rsidP="00EE3C55">
      <w:pPr>
        <w:pStyle w:val="BodyText"/>
        <w:rPr>
          <w:sz w:val="27"/>
        </w:rPr>
      </w:pPr>
    </w:p>
    <w:p w:rsidR="00EE3C55" w:rsidRDefault="00EE3C55" w:rsidP="00EE3C55">
      <w:pPr>
        <w:pStyle w:val="ListParagraph"/>
        <w:numPr>
          <w:ilvl w:val="1"/>
          <w:numId w:val="3"/>
        </w:numPr>
        <w:tabs>
          <w:tab w:val="left" w:pos="937"/>
          <w:tab w:val="left" w:pos="939"/>
        </w:tabs>
        <w:ind w:hanging="664"/>
        <w:jc w:val="left"/>
      </w:pPr>
      <w:r>
        <w:t>MATERIAL</w:t>
      </w:r>
    </w:p>
    <w:p w:rsidR="00EE3C55" w:rsidRDefault="00EE3C55" w:rsidP="00EE3C55">
      <w:pPr>
        <w:pStyle w:val="ListParagraph"/>
        <w:numPr>
          <w:ilvl w:val="2"/>
          <w:numId w:val="3"/>
        </w:numPr>
        <w:tabs>
          <w:tab w:val="left" w:pos="935"/>
          <w:tab w:val="left" w:pos="936"/>
        </w:tabs>
        <w:spacing w:before="83" w:line="271" w:lineRule="auto"/>
        <w:ind w:right="1436" w:hanging="720"/>
      </w:pPr>
      <w:r>
        <w:t>The wires shall be drawn from the wire rods conforming to IS</w:t>
      </w:r>
      <w:proofErr w:type="gramStart"/>
      <w:r>
        <w:t>:7887</w:t>
      </w:r>
      <w:proofErr w:type="gramEnd"/>
      <w:r>
        <w:t>-1975 or the latest version</w:t>
      </w:r>
      <w:r>
        <w:rPr>
          <w:spacing w:val="-3"/>
        </w:rPr>
        <w:t xml:space="preserve"> </w:t>
      </w:r>
      <w:r>
        <w:t>thereof.</w:t>
      </w:r>
    </w:p>
    <w:p w:rsidR="00EE3C55" w:rsidRDefault="00EE3C55" w:rsidP="00EE3C55">
      <w:pPr>
        <w:pStyle w:val="ListParagraph"/>
        <w:numPr>
          <w:ilvl w:val="2"/>
          <w:numId w:val="3"/>
        </w:numPr>
        <w:tabs>
          <w:tab w:val="left" w:pos="935"/>
          <w:tab w:val="left" w:pos="936"/>
        </w:tabs>
        <w:spacing w:before="50"/>
        <w:ind w:left="935"/>
      </w:pPr>
      <w:r>
        <w:t>The requirements for chemical composition for the wires shall conform to</w:t>
      </w:r>
      <w:r>
        <w:rPr>
          <w:spacing w:val="-11"/>
        </w:rPr>
        <w:t xml:space="preserve"> </w:t>
      </w:r>
      <w:r>
        <w:t>IS</w:t>
      </w:r>
      <w:proofErr w:type="gramStart"/>
      <w:r>
        <w:t>:7887</w:t>
      </w:r>
      <w:proofErr w:type="gramEnd"/>
      <w:r>
        <w:t>.</w:t>
      </w:r>
    </w:p>
    <w:p w:rsidR="00EE3C55" w:rsidRDefault="00EE3C55" w:rsidP="00EE3C55">
      <w:pPr>
        <w:pStyle w:val="ListParagraph"/>
        <w:numPr>
          <w:ilvl w:val="2"/>
          <w:numId w:val="3"/>
        </w:numPr>
        <w:tabs>
          <w:tab w:val="left" w:pos="935"/>
          <w:tab w:val="left" w:pos="936"/>
        </w:tabs>
        <w:spacing w:before="79" w:line="276" w:lineRule="auto"/>
        <w:ind w:right="1068" w:hanging="720"/>
      </w:pPr>
      <w:r>
        <w:t>The wires shall be sound, free from split surface flaws, rough jagged and imperfect edges and other detrimental defects on the surface of the</w:t>
      </w:r>
      <w:r>
        <w:rPr>
          <w:spacing w:val="-7"/>
        </w:rPr>
        <w:t xml:space="preserve"> </w:t>
      </w:r>
      <w:r>
        <w:t>wires.</w:t>
      </w:r>
    </w:p>
    <w:p w:rsidR="00EE3C55" w:rsidRDefault="00EE3C55" w:rsidP="00EE3C55">
      <w:pPr>
        <w:pStyle w:val="ListParagraph"/>
        <w:numPr>
          <w:ilvl w:val="1"/>
          <w:numId w:val="3"/>
        </w:numPr>
        <w:tabs>
          <w:tab w:val="left" w:pos="937"/>
          <w:tab w:val="left" w:pos="939"/>
        </w:tabs>
        <w:spacing w:before="198"/>
        <w:ind w:hanging="719"/>
        <w:jc w:val="left"/>
      </w:pPr>
      <w:r>
        <w:t>GALVANISING</w:t>
      </w:r>
    </w:p>
    <w:p w:rsidR="00EE3C55" w:rsidRDefault="00EE3C55" w:rsidP="00EE3C55">
      <w:pPr>
        <w:pStyle w:val="BodyText"/>
        <w:spacing w:before="80" w:line="271" w:lineRule="auto"/>
        <w:ind w:left="940" w:right="1486"/>
        <w:jc w:val="both"/>
      </w:pPr>
      <w:r>
        <w:t xml:space="preserve">The wires shall be </w:t>
      </w:r>
      <w:proofErr w:type="spellStart"/>
      <w:r>
        <w:t>galvanised</w:t>
      </w:r>
      <w:proofErr w:type="spellEnd"/>
      <w:r>
        <w:t xml:space="preserve"> with ‘Heavy Coating’ as per IS</w:t>
      </w:r>
      <w:proofErr w:type="gramStart"/>
      <w:r>
        <w:t>:4826</w:t>
      </w:r>
      <w:proofErr w:type="gramEnd"/>
      <w:r>
        <w:t>-1979 or the latest version thereof.</w:t>
      </w:r>
    </w:p>
    <w:p w:rsidR="00EE3C55" w:rsidRDefault="00EE3C55" w:rsidP="00EE3C55">
      <w:pPr>
        <w:pStyle w:val="ListParagraph"/>
        <w:numPr>
          <w:ilvl w:val="1"/>
          <w:numId w:val="3"/>
        </w:numPr>
        <w:tabs>
          <w:tab w:val="left" w:pos="937"/>
          <w:tab w:val="left" w:pos="939"/>
        </w:tabs>
        <w:spacing w:before="204"/>
        <w:ind w:hanging="719"/>
        <w:jc w:val="left"/>
      </w:pPr>
      <w:r>
        <w:t>GRADES</w:t>
      </w:r>
    </w:p>
    <w:p w:rsidR="00EE3C55" w:rsidRDefault="00EE3C55" w:rsidP="00EE3C55">
      <w:pPr>
        <w:pStyle w:val="BodyText"/>
        <w:spacing w:before="76"/>
        <w:ind w:left="940"/>
        <w:jc w:val="both"/>
      </w:pPr>
      <w:r>
        <w:t xml:space="preserve">GI wires shall be classified into two grades based on their tensile </w:t>
      </w:r>
      <w:proofErr w:type="gramStart"/>
      <w:r>
        <w:t>strength :</w:t>
      </w:r>
      <w:proofErr w:type="gramEnd"/>
    </w:p>
    <w:p w:rsidR="00EE3C55" w:rsidRDefault="00EE3C55" w:rsidP="00EE3C55">
      <w:pPr>
        <w:pStyle w:val="BodyText"/>
        <w:rPr>
          <w:sz w:val="18"/>
        </w:rPr>
      </w:pPr>
    </w:p>
    <w:tbl>
      <w:tblPr>
        <w:tblW w:w="0" w:type="auto"/>
        <w:tblInd w:w="3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1"/>
        <w:gridCol w:w="3236"/>
      </w:tblGrid>
      <w:tr w:rsidR="00EE3C55" w:rsidTr="00E31909">
        <w:trPr>
          <w:trHeight w:val="328"/>
        </w:trPr>
        <w:tc>
          <w:tcPr>
            <w:tcW w:w="1831" w:type="dxa"/>
          </w:tcPr>
          <w:p w:rsidR="00EE3C55" w:rsidRDefault="00EE3C55" w:rsidP="00E31909">
            <w:pPr>
              <w:pStyle w:val="TableParagraph"/>
              <w:spacing w:line="247" w:lineRule="exact"/>
              <w:ind w:left="88"/>
            </w:pPr>
            <w:r>
              <w:t>Grade</w:t>
            </w:r>
          </w:p>
        </w:tc>
        <w:tc>
          <w:tcPr>
            <w:tcW w:w="3236" w:type="dxa"/>
          </w:tcPr>
          <w:p w:rsidR="00EE3C55" w:rsidRDefault="00EE3C55" w:rsidP="00E31909">
            <w:pPr>
              <w:pStyle w:val="TableParagraph"/>
              <w:tabs>
                <w:tab w:val="left" w:pos="909"/>
              </w:tabs>
              <w:spacing w:before="29"/>
              <w:ind w:left="40"/>
            </w:pPr>
            <w:r>
              <w:t>Tensile</w:t>
            </w:r>
            <w:r>
              <w:tab/>
              <w:t>Strength(MPa)</w:t>
            </w:r>
          </w:p>
        </w:tc>
      </w:tr>
      <w:tr w:rsidR="00EE3C55" w:rsidTr="00E31909">
        <w:trPr>
          <w:trHeight w:val="290"/>
        </w:trPr>
        <w:tc>
          <w:tcPr>
            <w:tcW w:w="1831" w:type="dxa"/>
          </w:tcPr>
          <w:p w:rsidR="00EE3C55" w:rsidRDefault="00EE3C55" w:rsidP="00E31909">
            <w:pPr>
              <w:pStyle w:val="TableParagraph"/>
              <w:spacing w:before="29" w:line="240" w:lineRule="exact"/>
              <w:ind w:left="33"/>
            </w:pPr>
            <w:r>
              <w:t>Annealed</w:t>
            </w:r>
          </w:p>
        </w:tc>
        <w:tc>
          <w:tcPr>
            <w:tcW w:w="3236" w:type="dxa"/>
          </w:tcPr>
          <w:p w:rsidR="00EE3C55" w:rsidRDefault="00EE3C55" w:rsidP="00E31909">
            <w:pPr>
              <w:pStyle w:val="TableParagraph"/>
              <w:spacing w:before="29" w:line="240" w:lineRule="exact"/>
              <w:ind w:left="96"/>
            </w:pPr>
            <w:r>
              <w:t>300-550</w:t>
            </w:r>
          </w:p>
        </w:tc>
      </w:tr>
      <w:tr w:rsidR="00EE3C55" w:rsidTr="00E31909">
        <w:trPr>
          <w:trHeight w:val="290"/>
        </w:trPr>
        <w:tc>
          <w:tcPr>
            <w:tcW w:w="1831" w:type="dxa"/>
          </w:tcPr>
          <w:p w:rsidR="00EE3C55" w:rsidRDefault="00EE3C55" w:rsidP="00E31909">
            <w:pPr>
              <w:pStyle w:val="TableParagraph"/>
              <w:spacing w:before="29" w:line="240" w:lineRule="exact"/>
              <w:ind w:left="33"/>
            </w:pPr>
            <w:r>
              <w:t>Hard</w:t>
            </w:r>
          </w:p>
        </w:tc>
        <w:tc>
          <w:tcPr>
            <w:tcW w:w="3236" w:type="dxa"/>
          </w:tcPr>
          <w:p w:rsidR="00EE3C55" w:rsidRDefault="00EE3C55" w:rsidP="00E31909">
            <w:pPr>
              <w:pStyle w:val="TableParagraph"/>
              <w:spacing w:before="29" w:line="240" w:lineRule="exact"/>
              <w:ind w:left="40"/>
            </w:pPr>
            <w:r>
              <w:t>550-900</w:t>
            </w:r>
          </w:p>
        </w:tc>
      </w:tr>
    </w:tbl>
    <w:p w:rsidR="00EE3C55" w:rsidRDefault="00EE3C55" w:rsidP="00EE3C55">
      <w:pPr>
        <w:spacing w:line="240" w:lineRule="exact"/>
        <w:sectPr w:rsidR="00EE3C55">
          <w:type w:val="continuous"/>
          <w:pgSz w:w="11930" w:h="16850"/>
          <w:pgMar w:top="1320" w:right="720" w:bottom="280" w:left="1220" w:header="720" w:footer="720" w:gutter="0"/>
          <w:cols w:space="720"/>
        </w:sectPr>
      </w:pPr>
    </w:p>
    <w:p w:rsidR="00EE3C55" w:rsidRDefault="00EE3C55" w:rsidP="00EE3C55">
      <w:pPr>
        <w:pStyle w:val="ListParagraph"/>
        <w:numPr>
          <w:ilvl w:val="1"/>
          <w:numId w:val="3"/>
        </w:numPr>
        <w:tabs>
          <w:tab w:val="left" w:pos="1129"/>
          <w:tab w:val="left" w:pos="1130"/>
        </w:tabs>
        <w:spacing w:before="78"/>
        <w:ind w:left="1129" w:hanging="716"/>
        <w:jc w:val="left"/>
      </w:pPr>
      <w:r>
        <w:lastRenderedPageBreak/>
        <w:t xml:space="preserve">TOLERANCE </w:t>
      </w:r>
      <w:r>
        <w:rPr>
          <w:spacing w:val="-3"/>
        </w:rPr>
        <w:t>IN</w:t>
      </w:r>
      <w:r>
        <w:t xml:space="preserve"> DIAMETER</w:t>
      </w:r>
    </w:p>
    <w:p w:rsidR="00EE3C55" w:rsidRDefault="00EE3C55" w:rsidP="00EE3C55">
      <w:pPr>
        <w:pStyle w:val="BodyText"/>
        <w:spacing w:before="177" w:line="273" w:lineRule="auto"/>
        <w:ind w:left="1134" w:right="1150"/>
        <w:jc w:val="both"/>
      </w:pPr>
      <w:r>
        <w:t>The tolerance on nominal diameter at any section of wire shall not exceed (±</w:t>
      </w:r>
      <w:proofErr w:type="gramStart"/>
      <w:r>
        <w:t>)2.5</w:t>
      </w:r>
      <w:proofErr w:type="gramEnd"/>
      <w:r>
        <w:t>%. Further, the maximum difference between the diameters at any two cross-sections of wires shall not exceed 2.5%.</w:t>
      </w:r>
    </w:p>
    <w:p w:rsidR="00EE3C55" w:rsidRDefault="00EE3C55" w:rsidP="00EE3C55">
      <w:pPr>
        <w:pStyle w:val="ListParagraph"/>
        <w:numPr>
          <w:ilvl w:val="1"/>
          <w:numId w:val="3"/>
        </w:numPr>
        <w:tabs>
          <w:tab w:val="left" w:pos="1129"/>
          <w:tab w:val="left" w:pos="1130"/>
        </w:tabs>
        <w:spacing w:before="200"/>
        <w:ind w:left="1129" w:hanging="716"/>
        <w:jc w:val="left"/>
      </w:pPr>
      <w:r>
        <w:t>TESTS</w:t>
      </w:r>
    </w:p>
    <w:p w:rsidR="00EE3C55" w:rsidRDefault="00EE3C55" w:rsidP="00EE3C55">
      <w:pPr>
        <w:pStyle w:val="BodyText"/>
        <w:spacing w:before="201" w:line="273" w:lineRule="auto"/>
        <w:ind w:left="1134" w:right="804"/>
      </w:pPr>
      <w:r>
        <w:t>The following tests shall be carried out in accordance with IS</w:t>
      </w:r>
      <w:proofErr w:type="gramStart"/>
      <w:r>
        <w:t>:280</w:t>
      </w:r>
      <w:proofErr w:type="gramEnd"/>
      <w:r>
        <w:t>-1978 or the latest version thereof as per sampling criteria stipulated therein :</w:t>
      </w:r>
    </w:p>
    <w:p w:rsidR="00EE3C55" w:rsidRDefault="00EE3C55" w:rsidP="00EE3C55">
      <w:pPr>
        <w:pStyle w:val="ListParagraph"/>
        <w:numPr>
          <w:ilvl w:val="0"/>
          <w:numId w:val="2"/>
        </w:numPr>
        <w:tabs>
          <w:tab w:val="left" w:pos="1657"/>
          <w:tab w:val="left" w:pos="1658"/>
        </w:tabs>
        <w:spacing w:before="47"/>
      </w:pPr>
      <w:r>
        <w:t>Dimensional check (</w:t>
      </w:r>
      <w:proofErr w:type="spellStart"/>
      <w:r>
        <w:t>dia</w:t>
      </w:r>
      <w:proofErr w:type="spellEnd"/>
      <w:r>
        <w:t>) - refer clause 7</w:t>
      </w:r>
      <w:r>
        <w:rPr>
          <w:spacing w:val="-7"/>
        </w:rPr>
        <w:t xml:space="preserve"> </w:t>
      </w:r>
      <w:r>
        <w:t>above.</w:t>
      </w:r>
    </w:p>
    <w:p w:rsidR="00EE3C55" w:rsidRDefault="00EE3C55" w:rsidP="00EE3C55">
      <w:pPr>
        <w:pStyle w:val="ListParagraph"/>
        <w:numPr>
          <w:ilvl w:val="0"/>
          <w:numId w:val="2"/>
        </w:numPr>
        <w:tabs>
          <w:tab w:val="left" w:pos="1660"/>
          <w:tab w:val="left" w:pos="1661"/>
        </w:tabs>
        <w:spacing w:before="78"/>
        <w:ind w:left="1660" w:hanging="527"/>
      </w:pPr>
      <w:r>
        <w:t>Visual inspection regarding freedom from defects refer clause 4.3</w:t>
      </w:r>
      <w:r>
        <w:rPr>
          <w:spacing w:val="-18"/>
        </w:rPr>
        <w:t xml:space="preserve"> </w:t>
      </w:r>
      <w:r>
        <w:t>above.</w:t>
      </w:r>
    </w:p>
    <w:p w:rsidR="00EE3C55" w:rsidRDefault="00EE3C55" w:rsidP="00EE3C55">
      <w:pPr>
        <w:pStyle w:val="ListParagraph"/>
        <w:numPr>
          <w:ilvl w:val="0"/>
          <w:numId w:val="2"/>
        </w:numPr>
        <w:tabs>
          <w:tab w:val="left" w:pos="1719"/>
          <w:tab w:val="left" w:pos="1720"/>
        </w:tabs>
        <w:spacing w:before="168"/>
        <w:ind w:left="1719" w:hanging="586"/>
      </w:pPr>
      <w:r>
        <w:t>Tensile</w:t>
      </w:r>
      <w:r>
        <w:rPr>
          <w:spacing w:val="-1"/>
        </w:rPr>
        <w:t xml:space="preserve"> </w:t>
      </w:r>
      <w:r>
        <w:t>test</w:t>
      </w:r>
    </w:p>
    <w:p w:rsidR="00EE3C55" w:rsidRDefault="00EE3C55" w:rsidP="00EE3C55">
      <w:pPr>
        <w:pStyle w:val="ListParagraph"/>
        <w:numPr>
          <w:ilvl w:val="0"/>
          <w:numId w:val="2"/>
        </w:numPr>
        <w:tabs>
          <w:tab w:val="left" w:pos="1710"/>
          <w:tab w:val="left" w:pos="1711"/>
        </w:tabs>
        <w:spacing w:before="87"/>
        <w:ind w:left="1710" w:hanging="577"/>
      </w:pPr>
      <w:r>
        <w:t>Wrapping test (for wire diameters smaller than</w:t>
      </w:r>
      <w:r>
        <w:rPr>
          <w:spacing w:val="-7"/>
        </w:rPr>
        <w:t xml:space="preserve"> </w:t>
      </w:r>
      <w:r>
        <w:rPr>
          <w:spacing w:val="-3"/>
        </w:rPr>
        <w:t>5mm)</w:t>
      </w:r>
    </w:p>
    <w:p w:rsidR="00EE3C55" w:rsidRDefault="00EE3C55" w:rsidP="00EE3C55">
      <w:pPr>
        <w:pStyle w:val="ListParagraph"/>
        <w:numPr>
          <w:ilvl w:val="0"/>
          <w:numId w:val="2"/>
        </w:numPr>
        <w:tabs>
          <w:tab w:val="left" w:pos="1703"/>
          <w:tab w:val="left" w:pos="1704"/>
        </w:tabs>
        <w:spacing w:before="76"/>
        <w:ind w:left="1703" w:hanging="514"/>
      </w:pPr>
      <w:r>
        <w:t>Bend test (for wire diameters 5mm</w:t>
      </w:r>
      <w:r>
        <w:rPr>
          <w:spacing w:val="-7"/>
        </w:rPr>
        <w:t xml:space="preserve"> </w:t>
      </w:r>
      <w:r>
        <w:t>only)</w:t>
      </w:r>
    </w:p>
    <w:p w:rsidR="00EE3C55" w:rsidRDefault="00EE3C55" w:rsidP="00EE3C55">
      <w:pPr>
        <w:pStyle w:val="ListParagraph"/>
        <w:numPr>
          <w:ilvl w:val="0"/>
          <w:numId w:val="2"/>
        </w:numPr>
        <w:tabs>
          <w:tab w:val="left" w:pos="1710"/>
          <w:tab w:val="left" w:pos="1711"/>
        </w:tabs>
        <w:spacing w:before="78"/>
        <w:ind w:left="1710" w:hanging="577"/>
      </w:pPr>
      <w:r>
        <w:t>Coating test - refer clause 5</w:t>
      </w:r>
      <w:r>
        <w:rPr>
          <w:spacing w:val="-8"/>
        </w:rPr>
        <w:t xml:space="preserve"> </w:t>
      </w:r>
      <w:r>
        <w:t>above</w:t>
      </w:r>
    </w:p>
    <w:p w:rsidR="00EE3C55" w:rsidRDefault="00EE3C55" w:rsidP="00EE3C55">
      <w:pPr>
        <w:pStyle w:val="ListParagraph"/>
        <w:numPr>
          <w:ilvl w:val="0"/>
          <w:numId w:val="2"/>
        </w:numPr>
        <w:tabs>
          <w:tab w:val="left" w:pos="1772"/>
          <w:tab w:val="left" w:pos="1773"/>
        </w:tabs>
        <w:spacing w:before="170"/>
        <w:ind w:left="1772" w:hanging="639"/>
      </w:pPr>
      <w:r>
        <w:t>Chemical composition</w:t>
      </w:r>
    </w:p>
    <w:p w:rsidR="00EE3C55" w:rsidRDefault="00EE3C55" w:rsidP="00EE3C55">
      <w:pPr>
        <w:pStyle w:val="BodyText"/>
        <w:spacing w:before="6"/>
        <w:rPr>
          <w:sz w:val="33"/>
        </w:rPr>
      </w:pPr>
    </w:p>
    <w:p w:rsidR="00EE3C55" w:rsidRDefault="00EE3C55" w:rsidP="00EE3C55">
      <w:pPr>
        <w:pStyle w:val="ListParagraph"/>
        <w:numPr>
          <w:ilvl w:val="1"/>
          <w:numId w:val="3"/>
        </w:numPr>
        <w:tabs>
          <w:tab w:val="left" w:pos="1131"/>
          <w:tab w:val="left" w:pos="1132"/>
        </w:tabs>
        <w:ind w:left="1132" w:hanging="718"/>
        <w:jc w:val="left"/>
      </w:pPr>
      <w:r>
        <w:t>PACKING</w:t>
      </w:r>
    </w:p>
    <w:p w:rsidR="00EE3C55" w:rsidRDefault="00EE3C55" w:rsidP="00EE3C55">
      <w:pPr>
        <w:pStyle w:val="BodyText"/>
        <w:spacing w:before="5"/>
        <w:rPr>
          <w:sz w:val="32"/>
        </w:rPr>
      </w:pPr>
    </w:p>
    <w:p w:rsidR="00EE3C55" w:rsidRDefault="00EE3C55" w:rsidP="00EE3C55">
      <w:pPr>
        <w:pStyle w:val="BodyText"/>
        <w:spacing w:line="276" w:lineRule="auto"/>
        <w:ind w:left="1134" w:right="1148"/>
        <w:jc w:val="both"/>
      </w:pPr>
      <w:r>
        <w:t xml:space="preserve">The wires shall be supplied in 50-70 kg. </w:t>
      </w:r>
      <w:proofErr w:type="gramStart"/>
      <w:r>
        <w:t>coils</w:t>
      </w:r>
      <w:proofErr w:type="gramEnd"/>
      <w:r>
        <w:t>, each coil having single continuous length.  Each coil of wire shall be suitably bound and fastened compactly and shall be protected by suitable</w:t>
      </w:r>
      <w:r>
        <w:rPr>
          <w:spacing w:val="-1"/>
        </w:rPr>
        <w:t xml:space="preserve"> </w:t>
      </w:r>
      <w:r>
        <w:t>wrapping.</w:t>
      </w:r>
    </w:p>
    <w:p w:rsidR="00EE3C55" w:rsidRDefault="00EE3C55" w:rsidP="00EE3C55">
      <w:pPr>
        <w:pStyle w:val="ListParagraph"/>
        <w:numPr>
          <w:ilvl w:val="1"/>
          <w:numId w:val="3"/>
        </w:numPr>
        <w:tabs>
          <w:tab w:val="left" w:pos="1129"/>
          <w:tab w:val="left" w:pos="1130"/>
        </w:tabs>
        <w:spacing w:before="136"/>
        <w:ind w:left="1129" w:hanging="716"/>
        <w:jc w:val="left"/>
      </w:pPr>
      <w:r>
        <w:t>MARKING</w:t>
      </w:r>
    </w:p>
    <w:p w:rsidR="00EE3C55" w:rsidRDefault="00EE3C55" w:rsidP="00EE3C55">
      <w:pPr>
        <w:pStyle w:val="BodyText"/>
        <w:spacing w:before="201" w:line="273" w:lineRule="auto"/>
        <w:ind w:left="1134" w:right="1399"/>
      </w:pPr>
      <w:r>
        <w:t xml:space="preserve">Each coil shall be provided with a label fixed firmly on the inner part of the coil bearing the following </w:t>
      </w:r>
      <w:proofErr w:type="gramStart"/>
      <w:r>
        <w:t>information</w:t>
      </w:r>
      <w:r>
        <w:rPr>
          <w:spacing w:val="-4"/>
        </w:rPr>
        <w:t xml:space="preserve"> </w:t>
      </w:r>
      <w:r>
        <w:t>:</w:t>
      </w:r>
      <w:proofErr w:type="gramEnd"/>
    </w:p>
    <w:p w:rsidR="00EE3C55" w:rsidRDefault="00EE3C55" w:rsidP="00EE3C55">
      <w:pPr>
        <w:pStyle w:val="ListParagraph"/>
        <w:numPr>
          <w:ilvl w:val="0"/>
          <w:numId w:val="1"/>
        </w:numPr>
        <w:tabs>
          <w:tab w:val="left" w:pos="1746"/>
          <w:tab w:val="left" w:pos="1747"/>
        </w:tabs>
        <w:spacing w:before="44"/>
        <w:ind w:hanging="613"/>
      </w:pPr>
      <w:r>
        <w:t>Manufacturer’s name or trade</w:t>
      </w:r>
      <w:r>
        <w:rPr>
          <w:spacing w:val="-5"/>
        </w:rPr>
        <w:t xml:space="preserve"> </w:t>
      </w:r>
      <w:r>
        <w:t>mark</w:t>
      </w:r>
    </w:p>
    <w:p w:rsidR="00EE3C55" w:rsidRDefault="00EE3C55" w:rsidP="00EE3C55">
      <w:pPr>
        <w:pStyle w:val="ListParagraph"/>
        <w:numPr>
          <w:ilvl w:val="0"/>
          <w:numId w:val="1"/>
        </w:numPr>
        <w:tabs>
          <w:tab w:val="left" w:pos="1760"/>
          <w:tab w:val="left" w:pos="1762"/>
        </w:tabs>
        <w:spacing w:before="79"/>
        <w:ind w:left="1761" w:hanging="628"/>
      </w:pPr>
      <w:r>
        <w:t>Lot number and coil</w:t>
      </w:r>
      <w:r>
        <w:rPr>
          <w:spacing w:val="-1"/>
        </w:rPr>
        <w:t xml:space="preserve"> </w:t>
      </w:r>
      <w:r>
        <w:t>number</w:t>
      </w:r>
    </w:p>
    <w:p w:rsidR="00EE3C55" w:rsidRDefault="00EE3C55" w:rsidP="00EE3C55">
      <w:pPr>
        <w:pStyle w:val="ListParagraph"/>
        <w:numPr>
          <w:ilvl w:val="0"/>
          <w:numId w:val="1"/>
        </w:numPr>
        <w:tabs>
          <w:tab w:val="left" w:pos="1749"/>
          <w:tab w:val="left" w:pos="1750"/>
        </w:tabs>
        <w:spacing w:before="167"/>
        <w:ind w:left="1749" w:hanging="616"/>
      </w:pPr>
      <w:r>
        <w:t>Size</w:t>
      </w:r>
    </w:p>
    <w:p w:rsidR="00EE3C55" w:rsidRDefault="00EE3C55" w:rsidP="00EE3C55">
      <w:pPr>
        <w:pStyle w:val="ListParagraph"/>
        <w:numPr>
          <w:ilvl w:val="0"/>
          <w:numId w:val="1"/>
        </w:numPr>
        <w:tabs>
          <w:tab w:val="left" w:pos="1760"/>
          <w:tab w:val="left" w:pos="1762"/>
        </w:tabs>
        <w:spacing w:before="63"/>
        <w:ind w:left="1761" w:hanging="628"/>
      </w:pPr>
      <w:r>
        <w:t>Grade</w:t>
      </w:r>
      <w:r>
        <w:rPr>
          <w:spacing w:val="-3"/>
        </w:rPr>
        <w:t xml:space="preserve"> </w:t>
      </w:r>
      <w:r>
        <w:t>(Soft)</w:t>
      </w:r>
    </w:p>
    <w:p w:rsidR="00EE3C55" w:rsidRDefault="00EE3C55" w:rsidP="00EE3C55">
      <w:pPr>
        <w:pStyle w:val="ListParagraph"/>
        <w:numPr>
          <w:ilvl w:val="0"/>
          <w:numId w:val="1"/>
        </w:numPr>
        <w:tabs>
          <w:tab w:val="left" w:pos="1746"/>
          <w:tab w:val="left" w:pos="1747"/>
        </w:tabs>
        <w:spacing w:before="67"/>
        <w:ind w:hanging="613"/>
      </w:pPr>
      <w:r>
        <w:t>Mass</w:t>
      </w:r>
    </w:p>
    <w:p w:rsidR="00EE3C55" w:rsidRDefault="00EE3C55" w:rsidP="00EE3C55">
      <w:pPr>
        <w:pStyle w:val="ListParagraph"/>
        <w:numPr>
          <w:ilvl w:val="0"/>
          <w:numId w:val="1"/>
        </w:numPr>
        <w:tabs>
          <w:tab w:val="left" w:pos="1777"/>
          <w:tab w:val="left" w:pos="1778"/>
        </w:tabs>
        <w:spacing w:before="78"/>
        <w:ind w:left="1777" w:hanging="644"/>
      </w:pPr>
      <w:r>
        <w:t>Length</w:t>
      </w:r>
    </w:p>
    <w:p w:rsidR="00EE3C55" w:rsidRDefault="00EE3C55" w:rsidP="00EE3C55">
      <w:pPr>
        <w:pStyle w:val="ListParagraph"/>
        <w:numPr>
          <w:ilvl w:val="0"/>
          <w:numId w:val="1"/>
        </w:numPr>
        <w:tabs>
          <w:tab w:val="left" w:pos="1758"/>
          <w:tab w:val="left" w:pos="1759"/>
        </w:tabs>
        <w:spacing w:before="79"/>
        <w:ind w:left="1758" w:hanging="625"/>
      </w:pPr>
      <w:r>
        <w:t>ISI Certification mark, if</w:t>
      </w:r>
      <w:r>
        <w:rPr>
          <w:spacing w:val="-3"/>
        </w:rPr>
        <w:t xml:space="preserve"> </w:t>
      </w:r>
      <w:r>
        <w:t>any</w:t>
      </w:r>
    </w:p>
    <w:p w:rsidR="00EE3C55" w:rsidRDefault="00EE3C55" w:rsidP="00EE3C55">
      <w:pPr>
        <w:pStyle w:val="BodyText"/>
        <w:spacing w:before="1"/>
        <w:rPr>
          <w:sz w:val="33"/>
        </w:rPr>
      </w:pPr>
    </w:p>
    <w:p w:rsidR="00D21CFF" w:rsidRDefault="00D21CFF"/>
    <w:sectPr w:rsidR="00D21C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74733"/>
    <w:multiLevelType w:val="hybridMultilevel"/>
    <w:tmpl w:val="63807B1C"/>
    <w:lvl w:ilvl="0" w:tplc="63D66178">
      <w:start w:val="1"/>
      <w:numFmt w:val="lowerLetter"/>
      <w:lvlText w:val="%1)"/>
      <w:lvlJc w:val="left"/>
      <w:pPr>
        <w:ind w:left="1746" w:hanging="61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CB1ECDF2">
      <w:numFmt w:val="bullet"/>
      <w:lvlText w:val="•"/>
      <w:lvlJc w:val="left"/>
      <w:pPr>
        <w:ind w:left="2628" w:hanging="612"/>
      </w:pPr>
      <w:rPr>
        <w:rFonts w:hint="default"/>
        <w:lang w:val="en-US" w:eastAsia="en-US" w:bidi="en-US"/>
      </w:rPr>
    </w:lvl>
    <w:lvl w:ilvl="2" w:tplc="3B1E528C">
      <w:numFmt w:val="bullet"/>
      <w:lvlText w:val="•"/>
      <w:lvlJc w:val="left"/>
      <w:pPr>
        <w:ind w:left="3517" w:hanging="612"/>
      </w:pPr>
      <w:rPr>
        <w:rFonts w:hint="default"/>
        <w:lang w:val="en-US" w:eastAsia="en-US" w:bidi="en-US"/>
      </w:rPr>
    </w:lvl>
    <w:lvl w:ilvl="3" w:tplc="462217E0">
      <w:numFmt w:val="bullet"/>
      <w:lvlText w:val="•"/>
      <w:lvlJc w:val="left"/>
      <w:pPr>
        <w:ind w:left="4406" w:hanging="612"/>
      </w:pPr>
      <w:rPr>
        <w:rFonts w:hint="default"/>
        <w:lang w:val="en-US" w:eastAsia="en-US" w:bidi="en-US"/>
      </w:rPr>
    </w:lvl>
    <w:lvl w:ilvl="4" w:tplc="417EF39E">
      <w:numFmt w:val="bullet"/>
      <w:lvlText w:val="•"/>
      <w:lvlJc w:val="left"/>
      <w:pPr>
        <w:ind w:left="5295" w:hanging="612"/>
      </w:pPr>
      <w:rPr>
        <w:rFonts w:hint="default"/>
        <w:lang w:val="en-US" w:eastAsia="en-US" w:bidi="en-US"/>
      </w:rPr>
    </w:lvl>
    <w:lvl w:ilvl="5" w:tplc="80CCB7AE">
      <w:numFmt w:val="bullet"/>
      <w:lvlText w:val="•"/>
      <w:lvlJc w:val="left"/>
      <w:pPr>
        <w:ind w:left="6184" w:hanging="612"/>
      </w:pPr>
      <w:rPr>
        <w:rFonts w:hint="default"/>
        <w:lang w:val="en-US" w:eastAsia="en-US" w:bidi="en-US"/>
      </w:rPr>
    </w:lvl>
    <w:lvl w:ilvl="6" w:tplc="41D26182">
      <w:numFmt w:val="bullet"/>
      <w:lvlText w:val="•"/>
      <w:lvlJc w:val="left"/>
      <w:pPr>
        <w:ind w:left="7073" w:hanging="612"/>
      </w:pPr>
      <w:rPr>
        <w:rFonts w:hint="default"/>
        <w:lang w:val="en-US" w:eastAsia="en-US" w:bidi="en-US"/>
      </w:rPr>
    </w:lvl>
    <w:lvl w:ilvl="7" w:tplc="1E506528">
      <w:numFmt w:val="bullet"/>
      <w:lvlText w:val="•"/>
      <w:lvlJc w:val="left"/>
      <w:pPr>
        <w:ind w:left="7962" w:hanging="612"/>
      </w:pPr>
      <w:rPr>
        <w:rFonts w:hint="default"/>
        <w:lang w:val="en-US" w:eastAsia="en-US" w:bidi="en-US"/>
      </w:rPr>
    </w:lvl>
    <w:lvl w:ilvl="8" w:tplc="42D8EF30">
      <w:numFmt w:val="bullet"/>
      <w:lvlText w:val="•"/>
      <w:lvlJc w:val="left"/>
      <w:pPr>
        <w:ind w:left="8851" w:hanging="612"/>
      </w:pPr>
      <w:rPr>
        <w:rFonts w:hint="default"/>
        <w:lang w:val="en-US" w:eastAsia="en-US" w:bidi="en-US"/>
      </w:rPr>
    </w:lvl>
  </w:abstractNum>
  <w:abstractNum w:abstractNumId="1" w15:restartNumberingAfterBreak="0">
    <w:nsid w:val="5F051831"/>
    <w:multiLevelType w:val="hybridMultilevel"/>
    <w:tmpl w:val="9B8E2928"/>
    <w:lvl w:ilvl="0" w:tplc="68EC916E">
      <w:start w:val="1"/>
      <w:numFmt w:val="lowerRoman"/>
      <w:lvlText w:val="%1)"/>
      <w:lvlJc w:val="left"/>
      <w:pPr>
        <w:ind w:left="1657" w:hanging="46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915E2B5E">
      <w:numFmt w:val="bullet"/>
      <w:lvlText w:val="•"/>
      <w:lvlJc w:val="left"/>
      <w:pPr>
        <w:ind w:left="2556" w:hanging="468"/>
      </w:pPr>
      <w:rPr>
        <w:rFonts w:hint="default"/>
        <w:lang w:val="en-US" w:eastAsia="en-US" w:bidi="en-US"/>
      </w:rPr>
    </w:lvl>
    <w:lvl w:ilvl="2" w:tplc="325443A2">
      <w:numFmt w:val="bullet"/>
      <w:lvlText w:val="•"/>
      <w:lvlJc w:val="left"/>
      <w:pPr>
        <w:ind w:left="3453" w:hanging="468"/>
      </w:pPr>
      <w:rPr>
        <w:rFonts w:hint="default"/>
        <w:lang w:val="en-US" w:eastAsia="en-US" w:bidi="en-US"/>
      </w:rPr>
    </w:lvl>
    <w:lvl w:ilvl="3" w:tplc="05D062F2">
      <w:numFmt w:val="bullet"/>
      <w:lvlText w:val="•"/>
      <w:lvlJc w:val="left"/>
      <w:pPr>
        <w:ind w:left="4350" w:hanging="468"/>
      </w:pPr>
      <w:rPr>
        <w:rFonts w:hint="default"/>
        <w:lang w:val="en-US" w:eastAsia="en-US" w:bidi="en-US"/>
      </w:rPr>
    </w:lvl>
    <w:lvl w:ilvl="4" w:tplc="5530A81A">
      <w:numFmt w:val="bullet"/>
      <w:lvlText w:val="•"/>
      <w:lvlJc w:val="left"/>
      <w:pPr>
        <w:ind w:left="5247" w:hanging="468"/>
      </w:pPr>
      <w:rPr>
        <w:rFonts w:hint="default"/>
        <w:lang w:val="en-US" w:eastAsia="en-US" w:bidi="en-US"/>
      </w:rPr>
    </w:lvl>
    <w:lvl w:ilvl="5" w:tplc="5754C38A">
      <w:numFmt w:val="bullet"/>
      <w:lvlText w:val="•"/>
      <w:lvlJc w:val="left"/>
      <w:pPr>
        <w:ind w:left="6144" w:hanging="468"/>
      </w:pPr>
      <w:rPr>
        <w:rFonts w:hint="default"/>
        <w:lang w:val="en-US" w:eastAsia="en-US" w:bidi="en-US"/>
      </w:rPr>
    </w:lvl>
    <w:lvl w:ilvl="6" w:tplc="00204506">
      <w:numFmt w:val="bullet"/>
      <w:lvlText w:val="•"/>
      <w:lvlJc w:val="left"/>
      <w:pPr>
        <w:ind w:left="7041" w:hanging="468"/>
      </w:pPr>
      <w:rPr>
        <w:rFonts w:hint="default"/>
        <w:lang w:val="en-US" w:eastAsia="en-US" w:bidi="en-US"/>
      </w:rPr>
    </w:lvl>
    <w:lvl w:ilvl="7" w:tplc="422ACB7A">
      <w:numFmt w:val="bullet"/>
      <w:lvlText w:val="•"/>
      <w:lvlJc w:val="left"/>
      <w:pPr>
        <w:ind w:left="7938" w:hanging="468"/>
      </w:pPr>
      <w:rPr>
        <w:rFonts w:hint="default"/>
        <w:lang w:val="en-US" w:eastAsia="en-US" w:bidi="en-US"/>
      </w:rPr>
    </w:lvl>
    <w:lvl w:ilvl="8" w:tplc="8C4E2C68">
      <w:numFmt w:val="bullet"/>
      <w:lvlText w:val="•"/>
      <w:lvlJc w:val="left"/>
      <w:pPr>
        <w:ind w:left="8835" w:hanging="468"/>
      </w:pPr>
      <w:rPr>
        <w:rFonts w:hint="default"/>
        <w:lang w:val="en-US" w:eastAsia="en-US" w:bidi="en-US"/>
      </w:rPr>
    </w:lvl>
  </w:abstractNum>
  <w:abstractNum w:abstractNumId="2" w15:restartNumberingAfterBreak="0">
    <w:nsid w:val="7B1E0433"/>
    <w:multiLevelType w:val="multilevel"/>
    <w:tmpl w:val="F1144EC8"/>
    <w:lvl w:ilvl="0">
      <w:start w:val="1"/>
      <w:numFmt w:val="decimal"/>
      <w:lvlText w:val="%1."/>
      <w:lvlJc w:val="left"/>
      <w:pPr>
        <w:ind w:left="839" w:hanging="720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en-US" w:eastAsia="en-US" w:bidi="en-US"/>
      </w:rPr>
    </w:lvl>
    <w:lvl w:ilvl="1">
      <w:start w:val="1"/>
      <w:numFmt w:val="decimal"/>
      <w:lvlText w:val="%2."/>
      <w:lvlJc w:val="left"/>
      <w:pPr>
        <w:ind w:left="938" w:hanging="663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>
      <w:start w:val="1"/>
      <w:numFmt w:val="decimal"/>
      <w:lvlText w:val="%2.%3"/>
      <w:lvlJc w:val="left"/>
      <w:pPr>
        <w:ind w:left="940" w:hanging="71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3">
      <w:numFmt w:val="bullet"/>
      <w:lvlText w:val="•"/>
      <w:lvlJc w:val="left"/>
      <w:pPr>
        <w:ind w:left="1100" w:hanging="716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1180" w:hanging="716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1261" w:hanging="716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1341" w:hanging="716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1421" w:hanging="716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1502" w:hanging="716"/>
      </w:pPr>
      <w:rPr>
        <w:rFonts w:hint="default"/>
        <w:lang w:val="en-US" w:eastAsia="en-US" w:bidi="en-U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C55"/>
    <w:rsid w:val="00D21CFF"/>
    <w:rsid w:val="00EE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4607DB-CAE0-404E-BA8F-46B27E481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E3C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paragraph" w:styleId="Heading3">
    <w:name w:val="heading 3"/>
    <w:basedOn w:val="Normal"/>
    <w:link w:val="Heading3Char"/>
    <w:uiPriority w:val="1"/>
    <w:qFormat/>
    <w:rsid w:val="00EE3C55"/>
    <w:pPr>
      <w:ind w:right="1004"/>
      <w:jc w:val="center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EE3C55"/>
    <w:rPr>
      <w:rFonts w:ascii="Times New Roman" w:eastAsia="Times New Roman" w:hAnsi="Times New Roman" w:cs="Times New Roman"/>
      <w:b/>
      <w:bCs/>
      <w:sz w:val="24"/>
      <w:szCs w:val="24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EE3C55"/>
  </w:style>
  <w:style w:type="character" w:customStyle="1" w:styleId="BodyTextChar">
    <w:name w:val="Body Text Char"/>
    <w:basedOn w:val="DefaultParagraphFont"/>
    <w:link w:val="BodyText"/>
    <w:uiPriority w:val="1"/>
    <w:rsid w:val="00EE3C55"/>
    <w:rPr>
      <w:rFonts w:ascii="Times New Roman" w:eastAsia="Times New Roman" w:hAnsi="Times New Roman" w:cs="Times New Roman"/>
      <w:lang w:val="en-US" w:bidi="en-US"/>
    </w:rPr>
  </w:style>
  <w:style w:type="paragraph" w:styleId="ListParagraph">
    <w:name w:val="List Paragraph"/>
    <w:basedOn w:val="Normal"/>
    <w:uiPriority w:val="1"/>
    <w:qFormat/>
    <w:rsid w:val="00EE3C55"/>
    <w:pPr>
      <w:ind w:left="839" w:hanging="721"/>
    </w:pPr>
  </w:style>
  <w:style w:type="paragraph" w:customStyle="1" w:styleId="TableParagraph">
    <w:name w:val="Table Paragraph"/>
    <w:basedOn w:val="Normal"/>
    <w:uiPriority w:val="1"/>
    <w:qFormat/>
    <w:rsid w:val="00EE3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2194</Characters>
  <Application>Microsoft Office Word</Application>
  <DocSecurity>0</DocSecurity>
  <Lines>18</Lines>
  <Paragraphs>5</Paragraphs>
  <ScaleCrop>false</ScaleCrop>
  <Company/>
  <LinksUpToDate>false</LinksUpToDate>
  <CharactersWithSpaces>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Gourahari Nayak</dc:creator>
  <cp:keywords/>
  <dc:description/>
  <cp:lastModifiedBy>Gourahari Nayak</cp:lastModifiedBy>
  <cp:revision>1</cp:revision>
  <dcterms:created xsi:type="dcterms:W3CDTF">2020-06-09T05:25:00Z</dcterms:created>
  <dcterms:modified xsi:type="dcterms:W3CDTF">2020-06-09T05:26:00Z</dcterms:modified>
</cp:coreProperties>
</file>